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9B1FB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560" w:lineRule="exact"/>
        <w:jc w:val="center"/>
        <w:textAlignment w:val="auto"/>
        <w:rPr>
          <w:rStyle w:val="18"/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</w:pPr>
      <w:r>
        <w:rPr>
          <w:rStyle w:val="18"/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广东工贸职业技术学院学生网上评教</w:t>
      </w:r>
    </w:p>
    <w:p w14:paraId="59C51072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200" w:line="560" w:lineRule="exact"/>
        <w:jc w:val="center"/>
        <w:textAlignment w:val="auto"/>
        <w:rPr>
          <w:rStyle w:val="18"/>
          <w:b/>
          <w:bCs/>
          <w:sz w:val="48"/>
          <w:szCs w:val="48"/>
        </w:rPr>
      </w:pPr>
      <w:r>
        <w:rPr>
          <w:rStyle w:val="18"/>
          <w:rFonts w:hint="eastAsia" w:ascii="方正公文小标宋" w:hAnsi="方正公文小标宋" w:eastAsia="方正公文小标宋" w:cs="方正公文小标宋"/>
          <w:b w:val="0"/>
          <w:bCs w:val="0"/>
          <w:spacing w:val="20"/>
          <w:sz w:val="36"/>
          <w:szCs w:val="36"/>
        </w:rPr>
        <w:t>操作手册</w:t>
      </w:r>
    </w:p>
    <w:p w14:paraId="1A0DC6DF">
      <w:pPr>
        <w:pStyle w:val="17"/>
        <w:spacing w:before="240" w:after="240"/>
        <w:rPr>
          <w:rStyle w:val="18"/>
          <w:rFonts w:hint="eastAsia" w:ascii="黑体" w:hAnsi="黑体" w:eastAsia="黑体" w:cs="黑体"/>
          <w:sz w:val="28"/>
          <w:szCs w:val="28"/>
        </w:rPr>
      </w:pPr>
      <w:r>
        <w:rPr>
          <w:rStyle w:val="18"/>
          <w:rFonts w:hint="eastAsia" w:ascii="黑体" w:hAnsi="黑体" w:eastAsia="黑体" w:cs="黑体"/>
          <w:sz w:val="28"/>
          <w:szCs w:val="28"/>
        </w:rPr>
        <w:t>一、企业微信端</w:t>
      </w:r>
      <w:r>
        <w:rPr>
          <w:rStyle w:val="18"/>
          <w:rFonts w:hint="eastAsia" w:ascii="黑体" w:hAnsi="黑体" w:eastAsia="黑体" w:cs="黑体"/>
          <w:sz w:val="28"/>
          <w:szCs w:val="28"/>
          <w:lang w:eastAsia="zh-CN"/>
        </w:rPr>
        <w:t>评</w:t>
      </w:r>
      <w:r>
        <w:rPr>
          <w:rStyle w:val="18"/>
          <w:rFonts w:hint="eastAsia" w:ascii="黑体" w:hAnsi="黑体" w:eastAsia="黑体" w:cs="黑体"/>
          <w:sz w:val="28"/>
          <w:szCs w:val="28"/>
          <w:lang w:val="en-US" w:eastAsia="zh-CN"/>
        </w:rPr>
        <w:t>教</w:t>
      </w:r>
      <w:r>
        <w:rPr>
          <w:rStyle w:val="18"/>
          <w:rFonts w:hint="eastAsia" w:ascii="黑体" w:hAnsi="黑体" w:eastAsia="黑体" w:cs="黑体"/>
          <w:sz w:val="28"/>
          <w:szCs w:val="28"/>
        </w:rPr>
        <w:t xml:space="preserve">流程 </w:t>
      </w:r>
    </w:p>
    <w:p w14:paraId="1ADBA1E0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（一）系统登录操作</w:t>
      </w:r>
    </w:p>
    <w:p w14:paraId="13017D32"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eastAsia="zh-CN"/>
        </w:rPr>
        <w:t>打开企业微信，进入【工作台】界面</w:t>
      </w:r>
    </w:p>
    <w:p w14:paraId="0E4CA8C8"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eastAsia="zh-CN"/>
        </w:rPr>
        <w:t>在应用列表中选【数字化教学质量评价系统】进入登录界面（见图1-1）</w:t>
      </w:r>
      <w:r>
        <w:rPr>
          <w:rFonts w:hint="eastAsia" w:ascii="仿宋" w:hAnsi="仿宋" w:eastAsia="仿宋" w:cs="仿宋"/>
        </w:rPr>
        <w:t xml:space="preserve"> </w:t>
      </w:r>
    </w:p>
    <w:p w14:paraId="3AE029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Calibri" w:hAnsi="Calibri" w:eastAsia="宋体"/>
          <w:lang w:eastAsia="zh-CN"/>
        </w:rPr>
      </w:pPr>
      <w:r>
        <w:rPr>
          <w:rFonts w:hint="eastAsia" w:ascii="Calibri" w:hAnsi="Calibri" w:eastAsia="宋体"/>
          <w:lang w:eastAsia="zh-CN"/>
        </w:rPr>
        <w:drawing>
          <wp:inline distT="0" distB="0" distL="114300" distR="114300">
            <wp:extent cx="1568450" cy="3043555"/>
            <wp:effectExtent l="0" t="0" r="12700" b="4445"/>
            <wp:docPr id="12" name="图片 12" descr="493ba96bb06d9e8064e71cb265a0e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93ba96bb06d9e8064e71cb265a0ed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lang w:val="en-US" w:eastAsia="zh-CN"/>
        </w:rPr>
        <w:t xml:space="preserve">   </w:t>
      </w:r>
    </w:p>
    <w:p w14:paraId="6216D1EC">
      <w:pPr>
        <w:jc w:val="center"/>
        <w:rPr>
          <w:rFonts w:ascii="宋体" w:hAnsi="宋体" w:eastAsia="宋体"/>
          <w:color w:val="000000"/>
          <w:sz w:val="18"/>
        </w:rPr>
      </w:pPr>
      <w:r>
        <w:rPr>
          <w:rFonts w:ascii="宋体" w:hAnsi="宋体" w:eastAsia="宋体"/>
          <w:color w:val="000000"/>
          <w:sz w:val="18"/>
        </w:rPr>
        <w:t>【图1-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1</w:t>
      </w:r>
      <w:r>
        <w:rPr>
          <w:rFonts w:ascii="宋体" w:hAnsi="宋体" w:eastAsia="宋体"/>
          <w:color w:val="000000"/>
          <w:sz w:val="18"/>
        </w:rPr>
        <w:t>】</w:t>
      </w:r>
    </w:p>
    <w:p w14:paraId="462C94BB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Style w:val="18"/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（二）期末评教操作</w:t>
      </w:r>
    </w:p>
    <w:p w14:paraId="714F9B43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lang w:eastAsia="zh-CN"/>
        </w:rPr>
      </w:pPr>
      <w:r>
        <w:rPr>
          <w:rStyle w:val="18"/>
          <w:rFonts w:hint="eastAsia" w:ascii="仿宋" w:hAnsi="仿宋" w:eastAsia="仿宋" w:cs="仿宋"/>
          <w:lang w:eastAsia="zh-CN"/>
        </w:rPr>
        <w:t>在应用首页</w:t>
      </w:r>
      <w:r>
        <w:rPr>
          <w:rStyle w:val="18"/>
          <w:rFonts w:hint="eastAsia" w:ascii="仿宋" w:hAnsi="仿宋" w:eastAsia="仿宋" w:cs="仿宋"/>
          <w:lang w:val="en-US" w:eastAsia="zh-CN"/>
        </w:rPr>
        <w:t>点击</w:t>
      </w:r>
      <w:r>
        <w:rPr>
          <w:rStyle w:val="18"/>
          <w:rFonts w:hint="eastAsia" w:ascii="仿宋" w:hAnsi="仿宋" w:eastAsia="仿宋" w:cs="仿宋"/>
          <w:lang w:eastAsia="zh-CN"/>
        </w:rPr>
        <w:t>【问卷调研】-【2025-2026-1学期期末学生评教】进入主界面（见图1-2）。</w:t>
      </w:r>
    </w:p>
    <w:p w14:paraId="24FA615D">
      <w:pPr>
        <w:pStyle w:val="17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299"/>
        <w:jc w:val="left"/>
        <w:textAlignment w:val="auto"/>
        <w:rPr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整体评价流程</w:t>
      </w:r>
    </w:p>
    <w:p w14:paraId="43BEF4E5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  <w:lang w:val="en-US" w:eastAsia="zh-CN"/>
        </w:rPr>
      </w:pPr>
      <w:r>
        <w:rPr>
          <w:rStyle w:val="18"/>
          <w:rFonts w:hint="eastAsia" w:ascii="仿宋" w:hAnsi="仿宋" w:eastAsia="仿宋" w:cs="仿宋"/>
          <w:lang w:eastAsia="zh-CN"/>
        </w:rPr>
        <w:t>进入“整体印象评教”模块，对本学期所有课程进行等级评定，等级包括：优秀（占比20%）、良好、合格、不合格。</w:t>
      </w:r>
    </w:p>
    <w:p w14:paraId="4DD3D94C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  <w:lang w:eastAsia="zh-CN"/>
        </w:rPr>
      </w:pPr>
      <w:r>
        <w:rPr>
          <w:rStyle w:val="18"/>
          <w:rFonts w:hint="eastAsia" w:ascii="仿宋" w:hAnsi="仿宋" w:eastAsia="仿宋" w:cs="仿宋"/>
        </w:rPr>
        <w:t>特别提示：该评定提交后不可撤销（见图1-3）</w:t>
      </w:r>
      <w:r>
        <w:rPr>
          <w:rStyle w:val="18"/>
          <w:rFonts w:hint="eastAsia" w:ascii="仿宋" w:hAnsi="仿宋" w:eastAsia="仿宋" w:cs="仿宋"/>
          <w:lang w:eastAsia="zh-CN"/>
        </w:rPr>
        <w:t>。</w:t>
      </w:r>
    </w:p>
    <w:p w14:paraId="42321392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</w:rPr>
        <w:t>注意事项：同一课程所有授课教师均需完成评价（见图1-4）</w:t>
      </w:r>
      <w:r>
        <w:rPr>
          <w:rStyle w:val="18"/>
          <w:rFonts w:hint="eastAsia" w:ascii="仿宋" w:hAnsi="仿宋" w:eastAsia="仿宋" w:cs="仿宋"/>
          <w:lang w:eastAsia="zh-CN"/>
        </w:rPr>
        <w:t>。</w:t>
      </w:r>
    </w:p>
    <w:p w14:paraId="33A77D4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5740" cy="2520315"/>
            <wp:effectExtent l="0" t="0" r="10160" b="13335"/>
            <wp:docPr id="13" name="图片 13" descr="555e5b0b4db183ebc0ad3d31a9d1ba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55e5b0b4db183ebc0ad3d31a9d1bae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935" cy="2520315"/>
            <wp:effectExtent l="0" t="0" r="12065" b="13335"/>
            <wp:docPr id="27" name="图片 27" descr="3de73aa3b5a918e6620270b1604d9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de73aa3b5a918e6620270b1604d98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935" cy="2520315"/>
            <wp:effectExtent l="0" t="0" r="12065" b="13335"/>
            <wp:docPr id="28" name="图片 28" descr="8e2009e8622c616bc500ce263a009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e2009e8622c616bc500ce263a0096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DA56">
      <w:pPr>
        <w:ind w:firstLine="1620" w:firstLineChars="900"/>
        <w:jc w:val="both"/>
        <w:rPr>
          <w:rFonts w:hint="default" w:ascii="宋体" w:hAnsi="宋体" w:eastAsia="宋体"/>
          <w:color w:val="000000"/>
          <w:sz w:val="18"/>
          <w:lang w:val="en-US" w:eastAsia="zh-CN"/>
        </w:rPr>
      </w:pPr>
      <w:r>
        <w:rPr>
          <w:rFonts w:hint="eastAsia" w:ascii="宋体" w:hAnsi="宋体" w:eastAsia="宋体"/>
          <w:color w:val="000000"/>
          <w:sz w:val="18"/>
        </w:rPr>
        <w:t>【图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1</w:t>
      </w:r>
      <w:r>
        <w:rPr>
          <w:rFonts w:ascii="宋体" w:hAnsi="宋体" w:eastAsia="宋体"/>
          <w:color w:val="000000"/>
          <w:sz w:val="18"/>
        </w:rPr>
        <w:t>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2</w:t>
      </w:r>
      <w:r>
        <w:rPr>
          <w:rFonts w:hint="eastAsia" w:ascii="宋体" w:hAnsi="宋体" w:eastAsia="宋体"/>
          <w:color w:val="000000"/>
          <w:sz w:val="18"/>
        </w:rPr>
        <w:t>】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 xml:space="preserve">                    </w:t>
      </w:r>
      <w:r>
        <w:rPr>
          <w:rFonts w:hint="eastAsia" w:ascii="宋体" w:hAnsi="宋体" w:eastAsia="宋体"/>
          <w:color w:val="000000"/>
          <w:sz w:val="18"/>
        </w:rPr>
        <w:t>【图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1</w:t>
      </w:r>
      <w:r>
        <w:rPr>
          <w:rFonts w:ascii="宋体" w:hAnsi="宋体" w:eastAsia="宋体"/>
          <w:color w:val="000000"/>
          <w:sz w:val="18"/>
        </w:rPr>
        <w:t>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3</w:t>
      </w:r>
      <w:r>
        <w:rPr>
          <w:rFonts w:hint="eastAsia" w:ascii="宋体" w:hAnsi="宋体" w:eastAsia="宋体"/>
          <w:color w:val="000000"/>
          <w:sz w:val="18"/>
        </w:rPr>
        <w:t>】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 xml:space="preserve">                   </w:t>
      </w:r>
      <w:r>
        <w:rPr>
          <w:rFonts w:hint="eastAsia" w:ascii="宋体" w:hAnsi="宋体" w:eastAsia="宋体"/>
          <w:color w:val="000000"/>
          <w:sz w:val="18"/>
        </w:rPr>
        <w:t>【图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1</w:t>
      </w:r>
      <w:r>
        <w:rPr>
          <w:rFonts w:ascii="宋体" w:hAnsi="宋体" w:eastAsia="宋体"/>
          <w:color w:val="000000"/>
          <w:sz w:val="18"/>
        </w:rPr>
        <w:t>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4</w:t>
      </w:r>
      <w:r>
        <w:rPr>
          <w:rFonts w:hint="eastAsia" w:ascii="宋体" w:hAnsi="宋体" w:eastAsia="宋体"/>
          <w:color w:val="000000"/>
          <w:sz w:val="18"/>
        </w:rPr>
        <w:t>】</w:t>
      </w:r>
    </w:p>
    <w:p w14:paraId="7BDD854A">
      <w:pPr>
        <w:pStyle w:val="17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课程专项评价</w:t>
      </w:r>
    </w:p>
    <w:p w14:paraId="4A978DB3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  <w:lang w:val="en-US" w:eastAsia="zh-CN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（1）</w:t>
      </w:r>
      <w:r>
        <w:rPr>
          <w:rStyle w:val="18"/>
          <w:rFonts w:hint="eastAsia" w:ascii="仿宋" w:hAnsi="仿宋" w:eastAsia="仿宋" w:cs="仿宋"/>
        </w:rPr>
        <w:t>逐项选择具体课程进行详细评价</w:t>
      </w:r>
      <w:r>
        <w:rPr>
          <w:rStyle w:val="18"/>
          <w:rFonts w:hint="eastAsia" w:ascii="仿宋" w:hAnsi="仿宋" w:eastAsia="仿宋" w:cs="仿宋"/>
          <w:lang w:val="en-US" w:eastAsia="zh-CN"/>
        </w:rPr>
        <w:t>；</w:t>
      </w:r>
    </w:p>
    <w:p w14:paraId="638728BF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eastAsia="zh-CN"/>
        </w:rPr>
        <w:t>（</w:t>
      </w:r>
      <w:r>
        <w:rPr>
          <w:rStyle w:val="18"/>
          <w:rFonts w:hint="eastAsia" w:ascii="仿宋" w:hAnsi="仿宋" w:eastAsia="仿宋" w:cs="仿宋"/>
          <w:lang w:val="en-US" w:eastAsia="zh-CN"/>
        </w:rPr>
        <w:t>2）</w:t>
      </w:r>
      <w:r>
        <w:rPr>
          <w:rStyle w:val="18"/>
          <w:rFonts w:hint="eastAsia" w:ascii="仿宋" w:hAnsi="仿宋" w:eastAsia="仿宋" w:cs="仿宋"/>
        </w:rPr>
        <w:t>按系统提示完成答题，点击【提交】进入下一课程评价，直至</w:t>
      </w:r>
      <w:r>
        <w:rPr>
          <w:rStyle w:val="18"/>
          <w:rFonts w:hint="eastAsia" w:ascii="仿宋" w:hAnsi="仿宋" w:eastAsia="仿宋" w:cs="仿宋"/>
          <w:lang w:val="en-US" w:eastAsia="zh-CN"/>
        </w:rPr>
        <w:t>评</w:t>
      </w:r>
      <w:r>
        <w:rPr>
          <w:rStyle w:val="18"/>
          <w:rFonts w:hint="eastAsia" w:ascii="仿宋" w:hAnsi="仿宋" w:eastAsia="仿宋" w:cs="仿宋"/>
        </w:rPr>
        <w:t>完所有课程</w:t>
      </w:r>
      <w:r>
        <w:rPr>
          <w:rStyle w:val="18"/>
          <w:rFonts w:hint="eastAsia" w:ascii="仿宋" w:hAnsi="仿宋" w:eastAsia="仿宋" w:cs="仿宋"/>
          <w:lang w:val="en-US" w:eastAsia="zh-CN"/>
        </w:rPr>
        <w:t>；</w:t>
      </w:r>
    </w:p>
    <w:p w14:paraId="72EBEBF4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eastAsia="zh-CN"/>
        </w:rPr>
        <w:t>（</w:t>
      </w:r>
      <w:r>
        <w:rPr>
          <w:rStyle w:val="18"/>
          <w:rFonts w:hint="eastAsia" w:ascii="仿宋" w:hAnsi="仿宋" w:eastAsia="仿宋" w:cs="仿宋"/>
          <w:lang w:val="en-US" w:eastAsia="zh-CN"/>
        </w:rPr>
        <w:t>3）</w:t>
      </w:r>
      <w:r>
        <w:rPr>
          <w:rStyle w:val="18"/>
          <w:rFonts w:hint="eastAsia" w:ascii="仿宋" w:hAnsi="仿宋" w:eastAsia="仿宋" w:cs="仿宋"/>
          <w:lang w:eastAsia="zh-CN"/>
        </w:rPr>
        <w:t>极端评分规则：评分≥97分或≤60分，须填10字以上评语（见图1-5）</w:t>
      </w:r>
      <w:r>
        <w:rPr>
          <w:rStyle w:val="18"/>
          <w:rFonts w:hint="eastAsia" w:ascii="仿宋" w:hAnsi="仿宋" w:eastAsia="仿宋" w:cs="仿宋"/>
          <w:lang w:val="en-US" w:eastAsia="zh-CN"/>
        </w:rPr>
        <w:t>；</w:t>
      </w:r>
    </w:p>
    <w:p w14:paraId="41F4CF72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eastAsia="zh-CN"/>
        </w:rPr>
        <w:t>（</w:t>
      </w:r>
      <w:r>
        <w:rPr>
          <w:rStyle w:val="18"/>
          <w:rFonts w:hint="eastAsia" w:ascii="仿宋" w:hAnsi="仿宋" w:eastAsia="仿宋" w:cs="仿宋"/>
          <w:lang w:val="en-US" w:eastAsia="zh-CN"/>
        </w:rPr>
        <w:t>4）</w:t>
      </w:r>
      <w:r>
        <w:rPr>
          <w:rStyle w:val="18"/>
          <w:rFonts w:hint="eastAsia" w:ascii="仿宋" w:hAnsi="仿宋" w:eastAsia="仿宋" w:cs="仿宋"/>
        </w:rPr>
        <w:t>完成全部课程评价后系统自动生成提交记录</w:t>
      </w:r>
      <w:r>
        <w:rPr>
          <w:rStyle w:val="18"/>
          <w:rFonts w:hint="eastAsia" w:ascii="仿宋" w:hAnsi="仿宋" w:eastAsia="仿宋" w:cs="仿宋"/>
          <w:lang w:eastAsia="zh-CN"/>
        </w:rPr>
        <w:t>。</w:t>
      </w:r>
    </w:p>
    <w:p w14:paraId="63CAAFAD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46355</wp:posOffset>
            </wp:positionV>
            <wp:extent cx="5645150" cy="2858135"/>
            <wp:effectExtent l="0" t="0" r="12700" b="18415"/>
            <wp:wrapTight wrapText="bothSides">
              <wp:wrapPolygon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71264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</w:rPr>
      </w:pPr>
    </w:p>
    <w:p w14:paraId="6A55D795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</w:rPr>
      </w:pPr>
    </w:p>
    <w:p w14:paraId="732F8604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</w:rPr>
      </w:pPr>
    </w:p>
    <w:p w14:paraId="2C5AB6FC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 w14:paraId="291CC171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 w14:paraId="04EBAABE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 w14:paraId="12E813B5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 w14:paraId="2294F69E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 w14:paraId="42DBDBA1">
      <w:pPr>
        <w:pStyle w:val="17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 w14:paraId="7CCAB22D">
      <w:pPr>
        <w:ind w:firstLine="1620" w:firstLineChars="900"/>
        <w:jc w:val="center"/>
        <w:rPr>
          <w:rFonts w:hint="eastAsia" w:ascii="宋体" w:hAnsi="宋体" w:eastAsia="宋体"/>
          <w:color w:val="000000"/>
          <w:sz w:val="18"/>
        </w:rPr>
      </w:pPr>
      <w:r>
        <w:rPr>
          <w:rFonts w:hint="eastAsia" w:ascii="宋体" w:hAnsi="宋体" w:eastAsia="宋体"/>
          <w:color w:val="000000"/>
          <w:sz w:val="18"/>
        </w:rPr>
        <w:t>【图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1</w:t>
      </w:r>
      <w:r>
        <w:rPr>
          <w:rFonts w:hint="eastAsia" w:ascii="宋体" w:hAnsi="宋体" w:eastAsia="宋体"/>
          <w:color w:val="000000"/>
          <w:sz w:val="18"/>
        </w:rPr>
        <w:t>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5</w:t>
      </w:r>
      <w:r>
        <w:rPr>
          <w:rFonts w:hint="eastAsia" w:ascii="宋体" w:hAnsi="宋体" w:eastAsia="宋体"/>
          <w:color w:val="000000"/>
          <w:sz w:val="18"/>
        </w:rPr>
        <w:t>】</w:t>
      </w:r>
    </w:p>
    <w:p w14:paraId="55313D2A">
      <w:pPr>
        <w:pStyle w:val="17"/>
        <w:spacing w:before="240" w:after="240"/>
        <w:rPr>
          <w:rStyle w:val="18"/>
          <w:rFonts w:hint="eastAsia" w:ascii="黑体" w:hAnsi="黑体" w:eastAsia="黑体" w:cs="黑体"/>
          <w:sz w:val="28"/>
          <w:szCs w:val="28"/>
        </w:rPr>
      </w:pPr>
      <w:r>
        <w:rPr>
          <w:rStyle w:val="18"/>
          <w:rFonts w:hint="eastAsia" w:ascii="黑体" w:hAnsi="黑体" w:eastAsia="黑体" w:cs="黑体"/>
          <w:sz w:val="28"/>
          <w:szCs w:val="28"/>
          <w:lang w:val="en-US" w:eastAsia="zh-CN"/>
        </w:rPr>
        <w:t>二、</w:t>
      </w:r>
      <w:r>
        <w:rPr>
          <w:rStyle w:val="18"/>
          <w:rFonts w:hint="eastAsia" w:ascii="黑体" w:hAnsi="黑体" w:eastAsia="黑体" w:cs="黑体"/>
          <w:sz w:val="28"/>
          <w:szCs w:val="28"/>
        </w:rPr>
        <w:t>网页端评教流程</w:t>
      </w:r>
    </w:p>
    <w:p w14:paraId="4E645ECE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Style w:val="18"/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（一）访问系统平台</w:t>
      </w:r>
    </w:p>
    <w:p w14:paraId="1B6E7EA8">
      <w:pPr>
        <w:pStyle w:val="17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  <w:b w:val="0"/>
          <w:bCs w:val="0"/>
        </w:rPr>
      </w:pPr>
      <w:r>
        <w:rPr>
          <w:rStyle w:val="18"/>
          <w:rFonts w:hint="eastAsia" w:ascii="仿宋" w:hAnsi="仿宋" w:eastAsia="仿宋" w:cs="仿宋"/>
          <w:b w:val="0"/>
          <w:bCs w:val="0"/>
        </w:rPr>
        <w:t>登录广东工贸职业技术学院官网（链接</w:t>
      </w:r>
      <w:r>
        <w:rPr>
          <w:rStyle w:val="18"/>
          <w:rFonts w:hint="eastAsia" w:ascii="仿宋" w:hAnsi="仿宋" w:eastAsia="仿宋" w:cs="仿宋"/>
          <w:b w:val="0"/>
          <w:bCs w:val="0"/>
          <w:lang w:eastAsia="zh-CN"/>
        </w:rPr>
        <w:t>：</w:t>
      </w:r>
      <w:r>
        <w:rPr>
          <w:rStyle w:val="18"/>
          <w:rFonts w:hint="eastAsia" w:ascii="仿宋" w:hAnsi="仿宋" w:eastAsia="仿宋" w:cs="仿宋"/>
          <w:b w:val="0"/>
          <w:bCs w:val="0"/>
          <w:color w:val="0000EE"/>
          <w:u w:val="single" w:color="0000EE"/>
        </w:rPr>
        <w:t>https:</w:t>
      </w:r>
      <w:r>
        <w:rPr>
          <w:rStyle w:val="18"/>
          <w:rFonts w:hint="eastAsia" w:ascii="仿宋" w:hAnsi="仿宋" w:eastAsia="仿宋" w:cs="仿宋"/>
          <w:b w:val="0"/>
          <w:bCs w:val="0"/>
          <w:color w:val="0000EE"/>
          <w:u w:val="single" w:color="0000EE"/>
          <w:lang w:val="en-US" w:eastAsia="zh-CN"/>
        </w:rPr>
        <w:t>//</w:t>
      </w:r>
      <w:r>
        <w:rPr>
          <w:rStyle w:val="18"/>
          <w:rFonts w:hint="eastAsia" w:ascii="仿宋" w:hAnsi="仿宋" w:eastAsia="仿宋" w:cs="仿宋"/>
          <w:b w:val="0"/>
          <w:bCs w:val="0"/>
          <w:color w:val="0000EE"/>
          <w:u w:val="single" w:color="0000EE"/>
        </w:rPr>
        <w:t>www.gdgm.edu.cn</w:t>
      </w:r>
      <w:r>
        <w:rPr>
          <w:rStyle w:val="18"/>
          <w:rFonts w:hint="eastAsia" w:ascii="仿宋" w:hAnsi="仿宋" w:eastAsia="仿宋" w:cs="仿宋"/>
          <w:b w:val="0"/>
          <w:bCs w:val="0"/>
          <w:color w:val="0000EE"/>
          <w:u w:val="single" w:color="0000EE"/>
          <w:lang w:eastAsia="zh-CN"/>
        </w:rPr>
        <w:t>）</w:t>
      </w:r>
      <w:r>
        <w:rPr>
          <w:rStyle w:val="18"/>
          <w:rFonts w:hint="eastAsia" w:ascii="仿宋" w:hAnsi="仿宋" w:eastAsia="仿宋" w:cs="仿宋"/>
          <w:b w:val="0"/>
          <w:bCs w:val="0"/>
          <w:lang w:val="en-US" w:eastAsia="zh-CN"/>
        </w:rPr>
        <w:t>；</w:t>
      </w:r>
    </w:p>
    <w:p w14:paraId="40A779F4">
      <w:pPr>
        <w:pStyle w:val="17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eastAsia="zh-CN"/>
        </w:rPr>
        <w:t>于首页导航栏选取【数字工贸】平台</w:t>
      </w:r>
      <w:r>
        <w:rPr>
          <w:rStyle w:val="18"/>
          <w:rFonts w:hint="eastAsia" w:ascii="仿宋" w:hAnsi="仿宋" w:eastAsia="仿宋" w:cs="仿宋"/>
          <w:lang w:val="en-US" w:eastAsia="zh-CN"/>
        </w:rPr>
        <w:t>；</w:t>
      </w:r>
    </w:p>
    <w:p w14:paraId="06A12993">
      <w:pPr>
        <w:pStyle w:val="17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可</w:t>
      </w:r>
      <w:r>
        <w:rPr>
          <w:rStyle w:val="18"/>
          <w:rFonts w:hint="eastAsia" w:ascii="仿宋" w:hAnsi="仿宋" w:eastAsia="仿宋" w:cs="仿宋"/>
        </w:rPr>
        <w:t>使用企业微信扫码完成身份认证（</w:t>
      </w:r>
      <w:r>
        <w:rPr>
          <w:rStyle w:val="18"/>
          <w:rFonts w:hint="eastAsia" w:ascii="仿宋" w:hAnsi="仿宋" w:eastAsia="仿宋" w:cs="仿宋"/>
          <w:lang w:val="en-US" w:eastAsia="zh-CN"/>
        </w:rPr>
        <w:t>见</w:t>
      </w:r>
      <w:r>
        <w:rPr>
          <w:rStyle w:val="18"/>
          <w:rFonts w:hint="eastAsia" w:ascii="仿宋" w:hAnsi="仿宋" w:eastAsia="仿宋" w:cs="仿宋"/>
        </w:rPr>
        <w:t>图2-1）</w:t>
      </w:r>
      <w:r>
        <w:rPr>
          <w:rStyle w:val="18"/>
          <w:rFonts w:hint="eastAsia" w:ascii="仿宋" w:hAnsi="仿宋" w:eastAsia="仿宋" w:cs="仿宋"/>
          <w:lang w:val="en-US" w:eastAsia="zh-CN"/>
        </w:rPr>
        <w:t>；</w:t>
      </w:r>
    </w:p>
    <w:p w14:paraId="0BEA9FDF">
      <w:pPr>
        <w:pStyle w:val="17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eastAsia="zh-CN"/>
        </w:rPr>
        <w:t>于应用中心搜索并进入【数字化教学质量评价系统】（见图2-2、图2-3）。</w:t>
      </w:r>
    </w:p>
    <w:p w14:paraId="790ECA3B">
      <w:pPr>
        <w:ind w:left="1050" w:hanging="1200" w:hangingChars="500"/>
        <w:jc w:val="center"/>
        <w:rPr>
          <w:rFonts w:hint="eastAsia" w:ascii="宋体" w:hAnsi="宋体" w:eastAsia="宋体"/>
          <w:color w:val="000000"/>
          <w:sz w:val="18"/>
          <w:lang w:val="en-US" w:eastAsia="zh-CN"/>
        </w:rPr>
      </w:pPr>
      <w:r>
        <w:drawing>
          <wp:inline distT="0" distB="0" distL="114300" distR="114300">
            <wp:extent cx="2160270" cy="1080135"/>
            <wp:effectExtent l="0" t="0" r="11430" b="5715"/>
            <wp:docPr id="2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879725" cy="1080135"/>
            <wp:effectExtent l="0" t="0" r="15875" b="5715"/>
            <wp:docPr id="2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2E4D">
      <w:pPr>
        <w:ind w:firstLine="1800" w:firstLineChars="1000"/>
        <w:jc w:val="left"/>
        <w:rPr>
          <w:rFonts w:ascii="宋体" w:hAnsi="宋体" w:eastAsia="宋体"/>
          <w:color w:val="000000"/>
          <w:sz w:val="18"/>
        </w:rPr>
      </w:pPr>
      <w:r>
        <w:rPr>
          <w:rFonts w:ascii="宋体" w:hAnsi="宋体" w:eastAsia="宋体"/>
          <w:color w:val="000000"/>
          <w:sz w:val="18"/>
        </w:rPr>
        <w:t>【图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2-1</w:t>
      </w:r>
      <w:r>
        <w:rPr>
          <w:rFonts w:ascii="宋体" w:hAnsi="宋体" w:eastAsia="宋体"/>
          <w:color w:val="000000"/>
          <w:sz w:val="18"/>
        </w:rPr>
        <w:t>】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 xml:space="preserve">                                     </w:t>
      </w:r>
      <w:r>
        <w:rPr>
          <w:rFonts w:ascii="宋体" w:hAnsi="宋体" w:eastAsia="宋体"/>
          <w:color w:val="000000"/>
          <w:sz w:val="18"/>
        </w:rPr>
        <w:t>【图</w:t>
      </w:r>
      <w:r>
        <w:rPr>
          <w:rFonts w:ascii="宋体" w:hAnsi="宋体" w:eastAsia="宋体"/>
          <w:color w:val="000000"/>
          <w:spacing w:val="-47"/>
          <w:sz w:val="18"/>
        </w:rPr>
        <w:t xml:space="preserve"> </w:t>
      </w:r>
      <w:r>
        <w:rPr>
          <w:rFonts w:hint="eastAsia" w:ascii="Times New Roman" w:hAnsi="Times New Roman" w:eastAsia="宋体"/>
          <w:color w:val="000000"/>
          <w:sz w:val="18"/>
          <w:lang w:val="en-US" w:eastAsia="zh-CN"/>
        </w:rPr>
        <w:t>2-2</w:t>
      </w:r>
      <w:r>
        <w:rPr>
          <w:rFonts w:ascii="宋体" w:hAnsi="宋体" w:eastAsia="宋体"/>
          <w:color w:val="000000"/>
          <w:sz w:val="18"/>
        </w:rPr>
        <w:t>】</w:t>
      </w:r>
    </w:p>
    <w:p w14:paraId="4BABBFC2">
      <w:pPr>
        <w:jc w:val="center"/>
      </w:pPr>
      <w:r>
        <w:drawing>
          <wp:inline distT="0" distB="0" distL="114300" distR="114300">
            <wp:extent cx="5271770" cy="1640840"/>
            <wp:effectExtent l="0" t="0" r="5080" b="165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4582">
      <w:pPr>
        <w:jc w:val="center"/>
      </w:pPr>
      <w:r>
        <w:rPr>
          <w:rFonts w:ascii="宋体" w:hAnsi="宋体" w:eastAsia="宋体"/>
          <w:color w:val="000000"/>
          <w:sz w:val="18"/>
        </w:rPr>
        <w:t>【图</w:t>
      </w:r>
      <w:r>
        <w:rPr>
          <w:rFonts w:ascii="宋体" w:hAnsi="宋体" w:eastAsia="宋体"/>
          <w:color w:val="000000"/>
          <w:spacing w:val="-47"/>
          <w:sz w:val="18"/>
        </w:rPr>
        <w:t xml:space="preserve"> </w:t>
      </w:r>
      <w:r>
        <w:rPr>
          <w:rFonts w:hint="eastAsia" w:ascii="Times New Roman" w:hAnsi="Times New Roman" w:eastAsia="宋体"/>
          <w:color w:val="000000"/>
          <w:sz w:val="18"/>
          <w:lang w:val="en-US" w:eastAsia="zh-CN"/>
        </w:rPr>
        <w:t>2-3</w:t>
      </w:r>
      <w:r>
        <w:rPr>
          <w:rFonts w:ascii="宋体" w:hAnsi="宋体" w:eastAsia="宋体"/>
          <w:color w:val="000000"/>
          <w:sz w:val="18"/>
        </w:rPr>
        <w:t>】</w:t>
      </w:r>
    </w:p>
    <w:p w14:paraId="015D14D5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Style w:val="18"/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（二）期末评教操作</w:t>
      </w:r>
    </w:p>
    <w:p w14:paraId="1B6930C4">
      <w:pPr>
        <w:pStyle w:val="17"/>
        <w:numPr>
          <w:ilvl w:val="0"/>
          <w:numId w:val="5"/>
        </w:numPr>
        <w:spacing w:before="240" w:after="240"/>
        <w:ind w:left="720" w:hanging="299"/>
        <w:jc w:val="left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</w:rPr>
        <w:t>在【我的任务】模块选择</w:t>
      </w:r>
      <w:r>
        <w:rPr>
          <w:rStyle w:val="18"/>
          <w:rFonts w:hint="eastAsia" w:ascii="仿宋" w:hAnsi="仿宋" w:eastAsia="仿宋" w:cs="仿宋"/>
          <w:lang w:eastAsia="zh-CN"/>
        </w:rPr>
        <w:t>“</w:t>
      </w:r>
      <w:r>
        <w:rPr>
          <w:rStyle w:val="18"/>
          <w:rFonts w:hint="eastAsia" w:ascii="仿宋" w:hAnsi="仿宋" w:eastAsia="仿宋" w:cs="仿宋"/>
        </w:rPr>
        <w:t>2025-2026学年第一学期期末学生评教</w:t>
      </w:r>
      <w:r>
        <w:rPr>
          <w:rStyle w:val="18"/>
          <w:rFonts w:hint="eastAsia" w:ascii="仿宋" w:hAnsi="仿宋" w:eastAsia="仿宋" w:cs="仿宋"/>
          <w:lang w:eastAsia="zh-CN"/>
        </w:rPr>
        <w:t>”</w:t>
      </w:r>
      <w:r>
        <w:rPr>
          <w:rStyle w:val="18"/>
          <w:rFonts w:hint="eastAsia" w:ascii="仿宋" w:hAnsi="仿宋" w:eastAsia="仿宋" w:cs="仿宋"/>
        </w:rPr>
        <w:t>（</w:t>
      </w:r>
      <w:r>
        <w:rPr>
          <w:rStyle w:val="18"/>
          <w:rFonts w:hint="eastAsia" w:ascii="仿宋" w:hAnsi="仿宋" w:eastAsia="仿宋" w:cs="仿宋"/>
          <w:lang w:val="en-US" w:eastAsia="zh-CN"/>
        </w:rPr>
        <w:t>见</w:t>
      </w:r>
      <w:r>
        <w:rPr>
          <w:rStyle w:val="18"/>
          <w:rFonts w:hint="eastAsia" w:ascii="仿宋" w:hAnsi="仿宋" w:eastAsia="仿宋" w:cs="仿宋"/>
        </w:rPr>
        <w:t>图2-4）</w:t>
      </w:r>
    </w:p>
    <w:p w14:paraId="76FA1542">
      <w:pPr>
        <w:jc w:val="center"/>
      </w:pPr>
      <w:r>
        <w:drawing>
          <wp:inline distT="0" distB="0" distL="114300" distR="114300">
            <wp:extent cx="5269230" cy="777875"/>
            <wp:effectExtent l="0" t="0" r="7620" b="317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8B65">
      <w:pPr>
        <w:jc w:val="center"/>
        <w:rPr>
          <w:rFonts w:hint="eastAsia"/>
        </w:rPr>
      </w:pPr>
      <w:r>
        <w:rPr>
          <w:rFonts w:hint="eastAsia" w:ascii="宋体" w:hAnsi="宋体" w:eastAsia="宋体"/>
          <w:color w:val="000000"/>
          <w:sz w:val="18"/>
        </w:rPr>
        <w:t>【图2</w:t>
      </w:r>
      <w:r>
        <w:rPr>
          <w:rFonts w:ascii="宋体" w:hAnsi="宋体" w:eastAsia="宋体"/>
          <w:color w:val="000000"/>
          <w:sz w:val="18"/>
        </w:rPr>
        <w:t>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4</w:t>
      </w:r>
      <w:r>
        <w:rPr>
          <w:rFonts w:hint="eastAsia" w:ascii="宋体" w:hAnsi="宋体" w:eastAsia="宋体"/>
          <w:color w:val="000000"/>
          <w:sz w:val="18"/>
        </w:rPr>
        <w:t>】</w:t>
      </w:r>
    </w:p>
    <w:p w14:paraId="0C6875F3">
      <w:pPr>
        <w:pStyle w:val="17"/>
        <w:numPr>
          <w:ilvl w:val="0"/>
          <w:numId w:val="5"/>
        </w:numPr>
        <w:spacing w:before="240" w:after="240"/>
        <w:ind w:left="720" w:hanging="299"/>
        <w:jc w:val="left"/>
        <w:rPr>
          <w:rStyle w:val="18"/>
          <w:rFonts w:hint="eastAsia" w:ascii="仿宋" w:hAnsi="仿宋" w:eastAsia="仿宋" w:cs="仿宋"/>
          <w:lang w:val="en-US" w:eastAsia="en-US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进入整体评价和课程专项评价</w:t>
      </w:r>
      <w:r>
        <w:rPr>
          <w:rStyle w:val="18"/>
          <w:rFonts w:hint="eastAsia" w:ascii="仿宋" w:hAnsi="仿宋" w:eastAsia="仿宋" w:cs="仿宋"/>
          <w:lang w:val="en-US" w:eastAsia="en-US"/>
        </w:rPr>
        <w:t>的两级评价流程</w:t>
      </w:r>
    </w:p>
    <w:p w14:paraId="7DF53FE1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  <w:lang w:val="en-US" w:eastAsia="zh-CN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（1）</w:t>
      </w:r>
      <w:r>
        <w:rPr>
          <w:rStyle w:val="18"/>
          <w:rFonts w:hint="eastAsia" w:ascii="仿宋" w:hAnsi="仿宋" w:eastAsia="仿宋" w:cs="仿宋"/>
          <w:lang w:val="en-US" w:eastAsia="en-US"/>
        </w:rPr>
        <w:t>整体印象评价（规则同前，见图2-5）</w:t>
      </w:r>
      <w:r>
        <w:rPr>
          <w:rStyle w:val="18"/>
          <w:rFonts w:hint="eastAsia" w:ascii="仿宋" w:hAnsi="仿宋" w:eastAsia="仿宋" w:cs="仿宋"/>
          <w:lang w:val="en-US" w:eastAsia="zh-CN"/>
        </w:rPr>
        <w:t>。</w:t>
      </w:r>
    </w:p>
    <w:p w14:paraId="10069CCD">
      <w:pPr>
        <w:jc w:val="center"/>
      </w:pPr>
      <w:r>
        <w:drawing>
          <wp:inline distT="0" distB="0" distL="0" distR="0">
            <wp:extent cx="5043170" cy="2520315"/>
            <wp:effectExtent l="0" t="0" r="5080" b="13335"/>
            <wp:docPr id="142103311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3311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28BB">
      <w:pPr>
        <w:jc w:val="center"/>
        <w:rPr>
          <w:rFonts w:hint="eastAsia" w:ascii="宋体" w:hAnsi="宋体" w:eastAsia="宋体"/>
          <w:color w:val="000000"/>
          <w:sz w:val="18"/>
        </w:rPr>
      </w:pPr>
      <w:r>
        <w:rPr>
          <w:rFonts w:hint="eastAsia" w:ascii="宋体" w:hAnsi="宋体" w:eastAsia="宋体"/>
          <w:color w:val="000000"/>
          <w:sz w:val="18"/>
        </w:rPr>
        <w:t>【图2-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5</w:t>
      </w:r>
      <w:r>
        <w:rPr>
          <w:rFonts w:hint="eastAsia" w:ascii="宋体" w:hAnsi="宋体" w:eastAsia="宋体"/>
          <w:color w:val="000000"/>
          <w:sz w:val="18"/>
        </w:rPr>
        <w:t>】</w:t>
      </w:r>
    </w:p>
    <w:p w14:paraId="5C0E9B9A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  <w:lang w:val="en-US" w:eastAsia="zh-CN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（2）课程专项评价</w:t>
      </w:r>
    </w:p>
    <w:p w14:paraId="0E8969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440" w:lineRule="exact"/>
        <w:ind w:firstLine="480" w:firstLineChars="200"/>
        <w:jc w:val="left"/>
        <w:textAlignment w:val="auto"/>
      </w:pPr>
      <w:r>
        <w:rPr>
          <w:rStyle w:val="18"/>
          <w:rFonts w:hint="eastAsia" w:ascii="仿宋" w:hAnsi="仿宋" w:eastAsia="仿宋" w:cs="仿宋"/>
          <w:lang w:eastAsia="zh-CN"/>
        </w:rPr>
        <w:t>针对每位教师的具体课程展开详细评价，依照系统提示完成答题，点击【提交】进入下一课程评价，直至完成所有课程的评教</w:t>
      </w:r>
      <w:r>
        <w:rPr>
          <w:rStyle w:val="18"/>
          <w:rFonts w:hint="eastAsia" w:ascii="仿宋" w:hAnsi="仿宋" w:eastAsia="仿宋" w:cs="仿宋"/>
          <w:lang w:val="en-US" w:eastAsia="zh-CN"/>
        </w:rPr>
        <w:t>。</w:t>
      </w:r>
      <w:r>
        <w:rPr>
          <w:rStyle w:val="18"/>
          <w:rFonts w:hint="eastAsia" w:ascii="仿宋" w:hAnsi="仿宋" w:eastAsia="仿宋" w:cs="仿宋"/>
        </w:rPr>
        <w:t>在评教时，可查看评教页面右侧的实时分数统计</w:t>
      </w:r>
      <w:r>
        <w:rPr>
          <w:rStyle w:val="18"/>
          <w:rFonts w:hint="eastAsia" w:ascii="仿宋" w:hAnsi="仿宋" w:eastAsia="仿宋" w:cs="仿宋"/>
          <w:lang w:val="en-US" w:eastAsia="zh-CN"/>
        </w:rPr>
        <w:t>以</w:t>
      </w:r>
      <w:r>
        <w:rPr>
          <w:rStyle w:val="18"/>
          <w:rFonts w:hint="eastAsia" w:ascii="仿宋" w:hAnsi="仿宋" w:eastAsia="仿宋" w:cs="仿宋"/>
        </w:rPr>
        <w:t>了解评教得分，</w:t>
      </w:r>
      <w:r>
        <w:rPr>
          <w:rStyle w:val="18"/>
          <w:rFonts w:hint="eastAsia" w:ascii="仿宋" w:hAnsi="仿宋" w:eastAsia="仿宋" w:cs="仿宋"/>
          <w:lang w:eastAsia="zh-CN"/>
        </w:rPr>
        <w:t>如</w:t>
      </w:r>
      <w:r>
        <w:rPr>
          <w:rStyle w:val="18"/>
          <w:rFonts w:hint="eastAsia" w:ascii="仿宋" w:hAnsi="仿宋" w:eastAsia="仿宋" w:cs="仿宋"/>
        </w:rPr>
        <w:t>图2-6和图2-7所示。</w:t>
      </w:r>
    </w:p>
    <w:p w14:paraId="73FADD67">
      <w:pPr>
        <w:jc w:val="center"/>
      </w:pPr>
      <w:r>
        <w:drawing>
          <wp:inline distT="0" distB="0" distL="114300" distR="114300">
            <wp:extent cx="5263515" cy="1831975"/>
            <wp:effectExtent l="0" t="0" r="13335" b="1587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4DF2">
      <w:pPr>
        <w:jc w:val="center"/>
        <w:rPr>
          <w:rFonts w:hint="eastAsia" w:ascii="宋体" w:hAnsi="宋体" w:eastAsia="宋体"/>
          <w:color w:val="000000"/>
          <w:sz w:val="18"/>
        </w:rPr>
      </w:pPr>
      <w:r>
        <w:rPr>
          <w:rFonts w:hint="eastAsia" w:ascii="宋体" w:hAnsi="宋体" w:eastAsia="宋体"/>
          <w:color w:val="000000"/>
          <w:sz w:val="18"/>
        </w:rPr>
        <w:t>【图2-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6</w:t>
      </w:r>
      <w:r>
        <w:rPr>
          <w:rFonts w:hint="eastAsia" w:ascii="宋体" w:hAnsi="宋体" w:eastAsia="宋体"/>
          <w:color w:val="000000"/>
          <w:sz w:val="18"/>
        </w:rPr>
        <w:t>】</w:t>
      </w:r>
    </w:p>
    <w:p w14:paraId="0C8113BE"/>
    <w:p w14:paraId="4EDF2003">
      <w:pPr>
        <w:jc w:val="center"/>
      </w:pPr>
      <w:r>
        <w:drawing>
          <wp:inline distT="0" distB="0" distL="114300" distR="114300">
            <wp:extent cx="5263515" cy="1687830"/>
            <wp:effectExtent l="0" t="0" r="1333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B673">
      <w:pPr>
        <w:jc w:val="center"/>
        <w:rPr>
          <w:rFonts w:hint="eastAsia"/>
        </w:rPr>
      </w:pPr>
      <w:r>
        <w:rPr>
          <w:rFonts w:hint="eastAsia" w:ascii="宋体" w:hAnsi="宋体" w:eastAsia="宋体"/>
          <w:color w:val="000000"/>
          <w:sz w:val="18"/>
        </w:rPr>
        <w:t>【图2-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7</w:t>
      </w:r>
      <w:r>
        <w:rPr>
          <w:rFonts w:hint="eastAsia" w:ascii="宋体" w:hAnsi="宋体" w:eastAsia="宋体"/>
          <w:color w:val="000000"/>
          <w:sz w:val="18"/>
        </w:rPr>
        <w:t>】</w:t>
      </w:r>
    </w:p>
    <w:p w14:paraId="0F5C9387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  <w:lang w:val="en-US" w:eastAsia="zh-CN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（3）系统自动校验极端评分理由（见图2-8）。</w:t>
      </w:r>
    </w:p>
    <w:p w14:paraId="6D4C3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257800" cy="1233170"/>
            <wp:effectExtent l="0" t="0" r="0" b="508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B6F1">
      <w:pPr>
        <w:jc w:val="center"/>
        <w:rPr>
          <w:rFonts w:hint="eastAsia" w:ascii="宋体" w:hAnsi="宋体" w:eastAsia="宋体"/>
          <w:color w:val="000000"/>
          <w:sz w:val="18"/>
        </w:rPr>
      </w:pPr>
      <w:r>
        <w:rPr>
          <w:rFonts w:hint="eastAsia" w:ascii="宋体" w:hAnsi="宋体" w:eastAsia="宋体"/>
          <w:color w:val="000000"/>
          <w:sz w:val="18"/>
        </w:rPr>
        <w:t>【图2-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8</w:t>
      </w:r>
      <w:r>
        <w:rPr>
          <w:rFonts w:hint="eastAsia" w:ascii="宋体" w:hAnsi="宋体" w:eastAsia="宋体"/>
          <w:color w:val="000000"/>
          <w:sz w:val="18"/>
        </w:rPr>
        <w:t>】</w:t>
      </w:r>
    </w:p>
    <w:p w14:paraId="0778CFB5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8"/>
          <w:rFonts w:hint="eastAsia" w:ascii="仿宋" w:hAnsi="仿宋" w:eastAsia="仿宋" w:cs="仿宋"/>
          <w:lang w:val="en-US" w:eastAsia="zh-CN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（4）当完成全部课程评价后，系统将自动生成提交记录。</w:t>
      </w:r>
    </w:p>
    <w:p w14:paraId="69E6A454">
      <w:pPr>
        <w:pStyle w:val="17"/>
        <w:spacing w:before="240" w:after="240"/>
        <w:rPr>
          <w:rStyle w:val="18"/>
          <w:rFonts w:hint="eastAsia" w:ascii="仿宋" w:hAnsi="仿宋" w:eastAsia="仿宋" w:cs="仿宋"/>
        </w:rPr>
      </w:pPr>
    </w:p>
    <w:p w14:paraId="2628DF17">
      <w:pPr>
        <w:pStyle w:val="17"/>
        <w:spacing w:before="240" w:after="240"/>
        <w:rPr>
          <w:rStyle w:val="18"/>
          <w:rFonts w:hint="eastAsia" w:ascii="仿宋" w:hAnsi="仿宋" w:eastAsia="仿宋" w:cs="仿宋"/>
          <w:b/>
          <w:bCs/>
        </w:rPr>
      </w:pPr>
    </w:p>
    <w:p w14:paraId="43990B61">
      <w:pPr>
        <w:pStyle w:val="17"/>
        <w:spacing w:before="240" w:after="240"/>
        <w:rPr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特别说明：</w:t>
      </w:r>
    </w:p>
    <w:p w14:paraId="76856E29">
      <w:pPr>
        <w:pStyle w:val="17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299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</w:rPr>
        <w:t>技术支持：教学质量监控与评估中心服务热线 020-</w:t>
      </w:r>
      <w:r>
        <w:rPr>
          <w:rStyle w:val="18"/>
          <w:rFonts w:hint="eastAsia" w:ascii="仿宋" w:hAnsi="仿宋" w:eastAsia="仿宋" w:cs="仿宋"/>
          <w:lang w:val="en-US" w:eastAsia="zh-CN"/>
        </w:rPr>
        <w:t>87747309</w:t>
      </w:r>
    </w:p>
    <w:p w14:paraId="19B70EF8">
      <w:pPr>
        <w:pStyle w:val="17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299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</w:rPr>
        <w:t>业务咨询：教学质量监控与评估</w:t>
      </w:r>
      <w:r>
        <w:rPr>
          <w:rStyle w:val="18"/>
          <w:rFonts w:hint="eastAsia" w:ascii="仿宋" w:hAnsi="仿宋" w:eastAsia="仿宋" w:cs="仿宋"/>
          <w:lang w:val="en-US" w:eastAsia="zh-CN"/>
        </w:rPr>
        <w:t>中心</w:t>
      </w:r>
      <w:r>
        <w:rPr>
          <w:rStyle w:val="18"/>
          <w:rFonts w:hint="eastAsia" w:ascii="仿宋" w:hAnsi="仿宋" w:eastAsia="仿宋" w:cs="仿宋"/>
        </w:rPr>
        <w:t>办公室</w:t>
      </w:r>
      <w:r>
        <w:rPr>
          <w:rStyle w:val="18"/>
          <w:rFonts w:hint="eastAsia" w:ascii="仿宋" w:hAnsi="仿宋" w:eastAsia="仿宋" w:cs="仿宋"/>
          <w:lang w:eastAsia="zh-CN"/>
        </w:rPr>
        <w:t>（</w:t>
      </w:r>
      <w:r>
        <w:rPr>
          <w:rStyle w:val="18"/>
          <w:rFonts w:hint="eastAsia" w:ascii="仿宋" w:hAnsi="仿宋" w:eastAsia="仿宋" w:cs="仿宋"/>
          <w:lang w:val="en-US" w:eastAsia="zh-CN"/>
        </w:rPr>
        <w:t>明德楼1区306室）</w:t>
      </w:r>
    </w:p>
    <w:p w14:paraId="39638FD1">
      <w:pPr>
        <w:pStyle w:val="17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299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8"/>
          <w:rFonts w:hint="eastAsia" w:ascii="仿宋" w:hAnsi="仿宋" w:eastAsia="仿宋" w:cs="仿宋"/>
          <w:lang w:val="en-US" w:eastAsia="zh-CN"/>
        </w:rPr>
        <w:t>联系人：吕老师</w:t>
      </w:r>
    </w:p>
    <w:p w14:paraId="74AB7A6D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4DECF82B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2F0BDE7E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35E484B6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25FCE645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35D71930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37853735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5A0FDC10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49A7BB98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</w:p>
    <w:p w14:paraId="762C8CB6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Style w:val="18"/>
          <w:rFonts w:hint="eastAsia" w:ascii="仿宋" w:hAnsi="仿宋" w:eastAsia="仿宋" w:cs="仿宋"/>
          <w:b/>
          <w:bCs/>
        </w:rPr>
      </w:pPr>
      <w:bookmarkStart w:id="0" w:name="_GoBack"/>
      <w:bookmarkEnd w:id="0"/>
    </w:p>
    <w:p w14:paraId="17094D0E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textAlignment w:val="auto"/>
        <w:rPr>
          <w:rFonts w:hint="eastAsia" w:ascii="仿宋" w:hAnsi="仿宋" w:eastAsia="仿宋" w:cs="仿宋"/>
          <w:b/>
          <w:bCs/>
        </w:rPr>
      </w:pPr>
      <w:r>
        <w:rPr>
          <w:rStyle w:val="18"/>
          <w:rFonts w:hint="eastAsia" w:ascii="仿宋" w:hAnsi="仿宋" w:eastAsia="仿宋" w:cs="仿宋"/>
          <w:b/>
          <w:bCs/>
        </w:rPr>
        <w:t>（文件编号：GDGM-</w:t>
      </w:r>
      <w:r>
        <w:rPr>
          <w:rStyle w:val="18"/>
          <w:rFonts w:hint="eastAsia" w:ascii="仿宋" w:hAnsi="仿宋" w:eastAsia="仿宋" w:cs="仿宋"/>
          <w:b/>
          <w:bCs/>
          <w:lang w:val="en-US" w:eastAsia="zh-CN"/>
        </w:rPr>
        <w:t>ZPZX</w:t>
      </w:r>
      <w:r>
        <w:rPr>
          <w:rStyle w:val="18"/>
          <w:rFonts w:hint="eastAsia" w:ascii="仿宋" w:hAnsi="仿宋" w:eastAsia="仿宋" w:cs="仿宋"/>
          <w:b/>
          <w:bCs/>
        </w:rPr>
        <w:t>-2025-</w:t>
      </w:r>
      <w:r>
        <w:rPr>
          <w:rStyle w:val="18"/>
          <w:rFonts w:hint="eastAsia" w:ascii="仿宋" w:hAnsi="仿宋" w:eastAsia="仿宋" w:cs="仿宋"/>
          <w:b/>
          <w:bCs/>
          <w:lang w:val="en-US" w:eastAsia="zh-CN"/>
        </w:rPr>
        <w:t>1230</w:t>
      </w:r>
      <w:r>
        <w:rPr>
          <w:rStyle w:val="18"/>
          <w:rFonts w:hint="eastAsia" w:ascii="仿宋" w:hAnsi="仿宋" w:eastAsia="仿宋" w:cs="仿宋"/>
          <w:b/>
          <w:bCs/>
        </w:rPr>
        <w:t>）</w:t>
      </w:r>
      <w:r>
        <w:rPr>
          <w:rStyle w:val="18"/>
          <w:rFonts w:hint="eastAsia" w:ascii="仿宋" w:hAnsi="仿宋" w:eastAsia="仿宋" w:cs="仿宋"/>
          <w:b/>
          <w:bCs/>
        </w:rPr>
        <w:br w:type="textWrapping"/>
      </w:r>
      <w:r>
        <w:rPr>
          <w:rStyle w:val="18"/>
          <w:rFonts w:hint="eastAsia" w:ascii="仿宋" w:hAnsi="仿宋" w:eastAsia="仿宋" w:cs="仿宋"/>
          <w:b/>
          <w:bCs/>
        </w:rPr>
        <w:t>（版本号：V</w:t>
      </w:r>
      <w:r>
        <w:rPr>
          <w:rStyle w:val="18"/>
          <w:rFonts w:hint="eastAsia" w:ascii="仿宋" w:hAnsi="仿宋" w:eastAsia="仿宋" w:cs="仿宋"/>
          <w:b/>
          <w:bCs/>
          <w:lang w:val="en-US" w:eastAsia="zh-CN"/>
        </w:rPr>
        <w:t>1</w:t>
      </w:r>
      <w:r>
        <w:rPr>
          <w:rStyle w:val="18"/>
          <w:rFonts w:hint="eastAsia" w:ascii="仿宋" w:hAnsi="仿宋" w:eastAsia="仿宋" w:cs="仿宋"/>
          <w:b/>
          <w:bCs/>
        </w:rPr>
        <w:t>.</w:t>
      </w:r>
      <w:r>
        <w:rPr>
          <w:rStyle w:val="18"/>
          <w:rFonts w:hint="eastAsia" w:ascii="仿宋" w:hAnsi="仿宋" w:eastAsia="仿宋" w:cs="仿宋"/>
          <w:b/>
          <w:bCs/>
          <w:lang w:val="en-US" w:eastAsia="zh-CN"/>
        </w:rPr>
        <w:t>0</w:t>
      </w:r>
      <w:r>
        <w:rPr>
          <w:rStyle w:val="18"/>
          <w:rFonts w:hint="eastAsia" w:ascii="仿宋" w:hAnsi="仿宋" w:eastAsia="仿宋" w:cs="仿宋"/>
          <w:b/>
          <w:bCs/>
        </w:rPr>
        <w:t>）</w:t>
      </w:r>
      <w:r>
        <w:rPr>
          <w:rStyle w:val="18"/>
          <w:rFonts w:hint="eastAsia" w:ascii="仿宋" w:hAnsi="仿宋" w:eastAsia="仿宋" w:cs="仿宋"/>
          <w:b/>
          <w:bCs/>
        </w:rPr>
        <w:br w:type="textWrapping"/>
      </w:r>
      <w:r>
        <w:rPr>
          <w:rStyle w:val="18"/>
          <w:rFonts w:hint="eastAsia" w:ascii="仿宋" w:hAnsi="仿宋" w:eastAsia="仿宋" w:cs="仿宋"/>
          <w:b/>
          <w:bCs/>
        </w:rPr>
        <w:t>（发布日期：2025年12月30日）</w:t>
      </w:r>
    </w:p>
    <w:sectPr>
      <w:pgSz w:w="11906" w:h="16838"/>
      <w:pgMar w:top="1440" w:right="1236" w:bottom="1440" w:left="1236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7E6CAFE-2CCD-417B-BB87-213C851559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9DF96BB-060F-4DE8-BF67-799B408033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31D15E93-1AD1-4432-90BE-F1C27F4812E4}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AB02560A-F478-4C5D-8C40-E82424470EC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6217F06-BF83-4303-8C78-54FA2E80540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00000004"/>
    <w:multiLevelType w:val="multilevel"/>
    <w:tmpl w:val="00000004"/>
    <w:lvl w:ilvl="0" w:tentative="0">
      <w:start w:val="2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5"/>
    <w:multiLevelType w:val="multilevel"/>
    <w:tmpl w:val="0000000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00000006"/>
    <w:multiLevelType w:val="multilevel"/>
    <w:tmpl w:val="0000000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00000008"/>
    <w:multiLevelType w:val="multilevel"/>
    <w:tmpl w:val="0000000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69587F"/>
    <w:rsid w:val="0A6C225C"/>
    <w:rsid w:val="0B2A17B7"/>
    <w:rsid w:val="0CBE3ADF"/>
    <w:rsid w:val="121C60CC"/>
    <w:rsid w:val="22202796"/>
    <w:rsid w:val="27181100"/>
    <w:rsid w:val="309410C2"/>
    <w:rsid w:val="32EA443C"/>
    <w:rsid w:val="43631727"/>
    <w:rsid w:val="45423E2F"/>
    <w:rsid w:val="51703763"/>
    <w:rsid w:val="60B66813"/>
    <w:rsid w:val="70227EC6"/>
    <w:rsid w:val="72A93F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240" w:after="0"/>
      <w:outlineLvl w:val="0"/>
    </w:pPr>
    <w:rPr>
      <w:rFonts w:ascii="Times New Roman" w:hAnsi="Times New Roman" w:eastAsia="Times New Roman" w:cs="Times New Roman"/>
      <w:b/>
      <w:bCs/>
      <w:color w:val="2F5496"/>
      <w:kern w:val="36"/>
      <w:sz w:val="48"/>
      <w:szCs w:val="48"/>
    </w:rPr>
  </w:style>
  <w:style w:type="paragraph" w:styleId="3">
    <w:name w:val="heading 2"/>
    <w:basedOn w:val="1"/>
    <w:next w:val="1"/>
    <w:link w:val="12"/>
    <w:qFormat/>
    <w:uiPriority w:val="9"/>
    <w:pPr>
      <w:keepNext/>
      <w:keepLines/>
      <w:spacing w:before="40" w:after="0"/>
      <w:outlineLvl w:val="1"/>
    </w:pPr>
    <w:rPr>
      <w:rFonts w:ascii="Times New Roman" w:hAnsi="Times New Roman" w:eastAsia="Times New Roman" w:cs="Times New Roman"/>
      <w:b/>
      <w:bCs/>
      <w:color w:val="2F5496"/>
      <w:sz w:val="36"/>
      <w:szCs w:val="36"/>
    </w:rPr>
  </w:style>
  <w:style w:type="paragraph" w:styleId="4">
    <w:name w:val="heading 3"/>
    <w:basedOn w:val="1"/>
    <w:next w:val="1"/>
    <w:link w:val="13"/>
    <w:qFormat/>
    <w:uiPriority w:val="9"/>
    <w:pPr>
      <w:keepNext/>
      <w:keepLines/>
      <w:spacing w:before="40" w:after="0"/>
      <w:outlineLvl w:val="2"/>
    </w:pPr>
    <w:rPr>
      <w:rFonts w:ascii="Times New Roman" w:hAnsi="Times New Roman" w:eastAsia="Times New Roman" w:cs="Times New Roman"/>
      <w:b/>
      <w:bCs/>
      <w:color w:val="1F3763"/>
      <w:sz w:val="28"/>
      <w:szCs w:val="28"/>
    </w:rPr>
  </w:style>
  <w:style w:type="paragraph" w:styleId="5">
    <w:name w:val="heading 4"/>
    <w:basedOn w:val="1"/>
    <w:next w:val="1"/>
    <w:link w:val="14"/>
    <w:qFormat/>
    <w:uiPriority w:val="9"/>
    <w:pPr>
      <w:keepNext/>
      <w:keepLines/>
      <w:spacing w:before="40" w:after="0"/>
      <w:outlineLvl w:val="3"/>
    </w:pPr>
    <w:rPr>
      <w:rFonts w:ascii="Times New Roman" w:hAnsi="Times New Roman" w:eastAsia="Times New Roman" w:cs="Times New Roman"/>
      <w:b/>
      <w:bCs/>
      <w:iCs/>
      <w:color w:val="2F5496"/>
      <w:sz w:val="24"/>
      <w:szCs w:val="24"/>
    </w:rPr>
  </w:style>
  <w:style w:type="paragraph" w:styleId="6">
    <w:name w:val="heading 5"/>
    <w:basedOn w:val="1"/>
    <w:next w:val="1"/>
    <w:link w:val="15"/>
    <w:qFormat/>
    <w:uiPriority w:val="9"/>
    <w:pPr>
      <w:keepNext/>
      <w:keepLines/>
      <w:spacing w:before="40" w:after="0"/>
      <w:outlineLvl w:val="4"/>
    </w:pPr>
    <w:rPr>
      <w:rFonts w:ascii="Times New Roman" w:hAnsi="Times New Roman" w:eastAsia="Times New Roman" w:cs="Times New Roman"/>
      <w:b/>
      <w:bCs/>
      <w:color w:val="2F5496"/>
      <w:sz w:val="20"/>
      <w:szCs w:val="20"/>
    </w:rPr>
  </w:style>
  <w:style w:type="paragraph" w:styleId="7">
    <w:name w:val="heading 6"/>
    <w:basedOn w:val="1"/>
    <w:next w:val="1"/>
    <w:link w:val="16"/>
    <w:qFormat/>
    <w:uiPriority w:val="9"/>
    <w:pPr>
      <w:keepNext/>
      <w:keepLines/>
      <w:spacing w:before="40" w:after="0"/>
      <w:outlineLvl w:val="5"/>
    </w:pPr>
    <w:rPr>
      <w:rFonts w:ascii="Times New Roman" w:hAnsi="Times New Roman" w:eastAsia="Times New Roman" w:cs="Times New Roman"/>
      <w:b/>
      <w:bCs/>
      <w:color w:val="1F3763"/>
      <w:sz w:val="16"/>
      <w:szCs w:val="16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1">
    <w:name w:val="Heading 1 Char"/>
    <w:basedOn w:val="10"/>
    <w:link w:val="2"/>
    <w:qFormat/>
    <w:uiPriority w:val="9"/>
    <w:rPr>
      <w:rFonts w:ascii="Calibri Light" w:hAnsi="Calibri Light" w:eastAsia="Times New Roman" w:cs="Times New Roman"/>
      <w:color w:val="2F5496"/>
      <w:sz w:val="32"/>
      <w:szCs w:val="32"/>
    </w:rPr>
  </w:style>
  <w:style w:type="character" w:customStyle="1" w:styleId="12">
    <w:name w:val="Heading 2 Char"/>
    <w:basedOn w:val="10"/>
    <w:link w:val="3"/>
    <w:qFormat/>
    <w:uiPriority w:val="9"/>
    <w:rPr>
      <w:rFonts w:ascii="Calibri Light" w:hAnsi="Calibri Light" w:eastAsia="Times New Roman" w:cs="Times New Roman"/>
      <w:color w:val="2F5496"/>
      <w:sz w:val="26"/>
      <w:szCs w:val="26"/>
    </w:rPr>
  </w:style>
  <w:style w:type="character" w:customStyle="1" w:styleId="13">
    <w:name w:val="Heading 3 Char"/>
    <w:basedOn w:val="10"/>
    <w:link w:val="4"/>
    <w:qFormat/>
    <w:uiPriority w:val="9"/>
    <w:rPr>
      <w:rFonts w:ascii="Calibri Light" w:hAnsi="Calibri Light" w:eastAsia="Times New Roman" w:cs="Times New Roman"/>
      <w:color w:val="1F3763"/>
      <w:sz w:val="24"/>
      <w:szCs w:val="24"/>
    </w:rPr>
  </w:style>
  <w:style w:type="character" w:customStyle="1" w:styleId="14">
    <w:name w:val="Heading 4 Char"/>
    <w:basedOn w:val="10"/>
    <w:link w:val="5"/>
    <w:qFormat/>
    <w:uiPriority w:val="9"/>
    <w:rPr>
      <w:rFonts w:ascii="Calibri Light" w:hAnsi="Calibri Light" w:eastAsia="Times New Roman" w:cs="Times New Roman"/>
      <w:i/>
      <w:iCs/>
      <w:color w:val="2F5496"/>
    </w:rPr>
  </w:style>
  <w:style w:type="character" w:customStyle="1" w:styleId="15">
    <w:name w:val="Heading 5 Char"/>
    <w:basedOn w:val="10"/>
    <w:link w:val="6"/>
    <w:qFormat/>
    <w:uiPriority w:val="9"/>
    <w:rPr>
      <w:rFonts w:ascii="Calibri Light" w:hAnsi="Calibri Light" w:eastAsia="Times New Roman" w:cs="Times New Roman"/>
      <w:color w:val="2F5496"/>
    </w:rPr>
  </w:style>
  <w:style w:type="character" w:customStyle="1" w:styleId="16">
    <w:name w:val="Heading 6 Char"/>
    <w:basedOn w:val="10"/>
    <w:link w:val="7"/>
    <w:qFormat/>
    <w:uiPriority w:val="9"/>
    <w:rPr>
      <w:rFonts w:ascii="Calibri Light" w:hAnsi="Calibri Light" w:eastAsia="Times New Roman" w:cs="Times New Roman"/>
      <w:color w:val="1F3763"/>
    </w:rPr>
  </w:style>
  <w:style w:type="paragraph" w:customStyle="1" w:styleId="17">
    <w:name w:val="any"/>
    <w:basedOn w:val="1"/>
    <w:qFormat/>
    <w:uiPriority w:val="0"/>
    <w:rPr>
      <w:rFonts w:ascii="微软雅黑" w:hAnsi="微软雅黑" w:eastAsia="微软雅黑" w:cs="微软雅黑"/>
    </w:rPr>
  </w:style>
  <w:style w:type="character" w:customStyle="1" w:styleId="18">
    <w:name w:val="any Character"/>
    <w:basedOn w:val="10"/>
    <w:qFormat/>
    <w:uiPriority w:val="0"/>
    <w:rPr>
      <w:rFonts w:ascii="微软雅黑" w:hAnsi="微软雅黑" w:eastAsia="微软雅黑" w:cs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826</Words>
  <Characters>962</Characters>
  <Lines>0</Lines>
  <Paragraphs>0</Paragraphs>
  <TotalTime>3</TotalTime>
  <ScaleCrop>false</ScaleCrop>
  <LinksUpToDate>false</LinksUpToDate>
  <CharactersWithSpaces>1056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2025-12-30T14:31:00Z</dcterms:created>
  <dc:creator>Administrator</dc:creator>
  <cp:lastModifiedBy>林敏</cp:lastModifiedBy>
  <dcterms:modified xsi:type="dcterms:W3CDTF">2025-12-30T16:32:51Z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{"Label":"1","ContentProducer":"00119111010266628794161BG00","ProduceID":"2006009959146450944","ReservedCode1":"","ContentPropagator":"00119111010266628794161BG00","PropagateID":"2006009959146450945","ReservedCode2: ":""}</vt:lpwstr>
  </property>
  <property fmtid="{D5CDD505-2E9C-101B-9397-08002B2CF9AE}" pid="3" name="KSOTemplateDocerSaveRecord">
    <vt:lpwstr>eyJoZGlkIjoiZWMxNTc0ZTE1MTQ1YTY1ZTdmNThkY2NiYzkyNmQ4MGYiLCJ1c2VySWQiOiI3MTUxNTMyMTYifQ==</vt:lpwstr>
  </property>
  <property fmtid="{D5CDD505-2E9C-101B-9397-08002B2CF9AE}" pid="4" name="KSOProductBuildVer">
    <vt:lpwstr>2052-12.1.0.24034</vt:lpwstr>
  </property>
  <property fmtid="{D5CDD505-2E9C-101B-9397-08002B2CF9AE}" pid="5" name="ICV">
    <vt:lpwstr>911D7C1ADB354B6B845BCE6E3C50B997_13</vt:lpwstr>
  </property>
</Properties>
</file>